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06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621"/>
        <w:gridCol w:w="2099"/>
        <w:gridCol w:w="4461"/>
        <w:gridCol w:w="680"/>
        <w:gridCol w:w="920"/>
        <w:gridCol w:w="1110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附件1：工程量清单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一、姚港路17号店面屋面维修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项目特征描述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含税单价（元）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含税合价（元）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彩光瓦拆除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1、拆除原斜坡彩钢瓦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2、重新制作安装彩钢瓦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3、垃圾清运出场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4、清理基层；铺贴4mmSBS卷材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85.80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檐沟防水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1、凿除原檐沟防水材料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2、清理基层铺贴4mmSBS卷材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27.60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施工材料搬运费、其它费用等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二、花木路4号(汽车维修)屋面维修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檐沟防水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1、凿除原檐沟防水材料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2、清理基层铺贴4mmSBS卷材(含女儿墙平面）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屋面维修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1、更换部分栓子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2、更换部分挡瓦条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3、瓦面重新安装、更换部分坏瓦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120.00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其它费用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施工材料搬运费、其它费用等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三、北郭理发店层面防水施工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屋面防水施工</w:t>
            </w:r>
          </w:p>
        </w:tc>
        <w:tc>
          <w:tcPr>
            <w:tcW w:w="4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1、凿除原防水卷材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2、屋面修补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3、铺4MM防水卷材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7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2318A"/>
    <w:rsid w:val="2ED2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semiHidden/>
    <w:qFormat/>
    <w:uiPriority w:val="0"/>
    <w:pPr>
      <w:widowControl/>
      <w:spacing w:after="120"/>
      <w:ind w:left="420" w:leftChars="200" w:firstLine="420" w:firstLineChars="200"/>
      <w:textAlignment w:val="baseline"/>
    </w:pPr>
    <w:rPr>
      <w:rFonts w:ascii="Calibri" w:hAnsi="Calibri"/>
    </w:rPr>
  </w:style>
  <w:style w:type="paragraph" w:customStyle="1" w:styleId="3">
    <w:name w:val="BodyTextIndent"/>
    <w:basedOn w:val="1"/>
    <w:semiHidden/>
    <w:qFormat/>
    <w:uiPriority w:val="0"/>
    <w:pPr>
      <w:widowControl/>
      <w:spacing w:after="120"/>
      <w:ind w:left="420" w:leftChars="200"/>
      <w:textAlignment w:val="baseline"/>
    </w:pPr>
    <w:rPr>
      <w:rFonts w:ascii="Calibri" w:hAnsi="Calibri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2024-01-10T07:04:00Z</dcterms:created>
  <dc:creator>断雨续虹</dc:creator>
  <cp:lastModifiedBy>断雨续虹</cp:lastModifiedBy>
  <dcterms:modified xsi:type="dcterms:W3CDTF">2024-01-10T07:05:00Z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1426D6ADCF0748E2B171F1171BB20D36</vt:lpwstr>
  </property>
</Properties>
</file>