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10" w:rsidRDefault="00E17110" w:rsidP="00E17110">
      <w:r>
        <w:rPr>
          <w:rFonts w:hint="eastAsia"/>
        </w:rPr>
        <w:t>呼叫系统包括床头呼叫器</w:t>
      </w:r>
      <w:r>
        <w:rPr>
          <w:rFonts w:hint="eastAsia"/>
        </w:rPr>
        <w:t>/</w:t>
      </w:r>
      <w:r>
        <w:rPr>
          <w:rFonts w:hint="eastAsia"/>
        </w:rPr>
        <w:t>卫生间呼叫器、呼叫网关、呼叫中继、呼叫接收</w:t>
      </w:r>
      <w:r w:rsidR="0062320A">
        <w:rPr>
          <w:rFonts w:hint="eastAsia"/>
        </w:rPr>
        <w:t>装置（不接受手表或手环形式）</w:t>
      </w:r>
      <w:r>
        <w:rPr>
          <w:rFonts w:hint="eastAsia"/>
        </w:rPr>
        <w:t>、呼叫集中管理软件平台（后端服务器和前端</w:t>
      </w:r>
      <w:r>
        <w:rPr>
          <w:rFonts w:hint="eastAsia"/>
        </w:rPr>
        <w:t>APP</w:t>
      </w:r>
      <w:r>
        <w:rPr>
          <w:rFonts w:hint="eastAsia"/>
        </w:rPr>
        <w:t>）</w:t>
      </w:r>
      <w:r w:rsidR="0062320A">
        <w:rPr>
          <w:rFonts w:hint="eastAsia"/>
        </w:rPr>
        <w:t>等</w:t>
      </w:r>
      <w:r>
        <w:rPr>
          <w:rFonts w:hint="eastAsia"/>
        </w:rPr>
        <w:t>；另外需要配备必要的无线网络。</w:t>
      </w:r>
    </w:p>
    <w:p w:rsidR="00E17110" w:rsidRDefault="00E17110" w:rsidP="00E17110">
      <w:pPr>
        <w:pStyle w:val="Default"/>
        <w:rPr>
          <w:rFonts w:hint="default"/>
        </w:rPr>
      </w:pPr>
      <w:r>
        <w:t>各产品技术参数如下：</w:t>
      </w:r>
    </w:p>
    <w:tbl>
      <w:tblPr>
        <w:tblpPr w:leftFromText="180" w:rightFromText="180" w:vertAnchor="text" w:horzAnchor="page" w:tblpX="1176" w:tblpY="461"/>
        <w:tblOverlap w:val="never"/>
        <w:tblW w:w="9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5798"/>
        <w:gridCol w:w="1550"/>
      </w:tblGrid>
      <w:tr w:rsidR="00E17110" w:rsidTr="00D74029">
        <w:trPr>
          <w:trHeight w:val="99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技术参数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数量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床头呼叫器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◆支持433M无线发射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◆方圆设计，外形简约时尚                  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◆注册方式简单、稳定，不会出现乱码现象  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◆双电池供电     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◆触控式按键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◆颜色为：白色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◆简易推拉底座，安装方便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◆带不小于1米长曲线手柄</w:t>
            </w:r>
          </w:p>
          <w:p w:rsidR="00E17110" w:rsidRDefault="00E17110" w:rsidP="001B7D35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◆外形尺寸：</w:t>
            </w:r>
            <w:r w:rsidR="005760C5">
              <w:rPr>
                <w:rFonts w:ascii="仿宋_GB2312" w:eastAsia="仿宋_GB2312" w:hAnsi="宋体" w:hint="eastAsia"/>
                <w:kern w:val="2"/>
              </w:rPr>
              <w:t>招标人现场确定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170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卫生间呼叫器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◆支持433M无线发射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◆方圆设计，外形简约时尚                  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◆注册方式简单、稳定，不会出现乱码现象  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◆双电池供电     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◆触控式按键 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◆颜色为：白色       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◆简易推拉底座，安装方便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◆带不小于1米长拉绳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</w:t>
            </w:r>
            <w:r w:rsidR="005760C5">
              <w:rPr>
                <w:rFonts w:ascii="仿宋_GB2312" w:eastAsia="仿宋_GB2312" w:hAnsi="宋体" w:hint="eastAsia"/>
                <w:kern w:val="2"/>
              </w:rPr>
              <w:t>尺寸：</w:t>
            </w:r>
            <w:r w:rsidR="005760C5" w:rsidRPr="005760C5">
              <w:rPr>
                <w:rFonts w:ascii="仿宋_GB2312" w:eastAsia="仿宋_GB2312" w:hAnsi="宋体" w:hint="eastAsia"/>
                <w:kern w:val="2"/>
              </w:rPr>
              <w:t>招标人现场确定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E17110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70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呼叫网关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 </w:t>
            </w:r>
            <w:r w:rsidR="005760C5">
              <w:rPr>
                <w:rFonts w:ascii="仿宋_GB2312" w:eastAsia="仿宋_GB2312" w:hAnsi="宋体" w:hint="eastAsia"/>
                <w:kern w:val="2"/>
              </w:rPr>
              <w:t>尺寸：</w:t>
            </w:r>
            <w:r w:rsidR="005760C5" w:rsidRPr="005760C5">
              <w:rPr>
                <w:rFonts w:ascii="仿宋_GB2312" w:eastAsia="仿宋_GB2312" w:hAnsi="宋体" w:hint="eastAsia"/>
                <w:kern w:val="2"/>
              </w:rPr>
              <w:t>招标人现场确定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电源支持宽电压，DC5v2A/12v1A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支持433M接收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支持2.4Gwifi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支持BLE4.0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单台支持最大32个呼叫器识别能力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 带双色led指示   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24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呼叫中继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尺寸</w:t>
            </w:r>
            <w:r w:rsidR="005760C5">
              <w:rPr>
                <w:rFonts w:ascii="仿宋_GB2312" w:eastAsia="仿宋_GB2312" w:hAnsi="宋体" w:hint="eastAsia"/>
                <w:kern w:val="2"/>
              </w:rPr>
              <w:t>：</w:t>
            </w:r>
            <w:r w:rsidR="005760C5" w:rsidRPr="005760C5">
              <w:rPr>
                <w:rFonts w:ascii="仿宋_GB2312" w:eastAsia="仿宋_GB2312" w:hAnsi="宋体" w:hint="eastAsia"/>
                <w:kern w:val="2"/>
              </w:rPr>
              <w:t>招标人现场确定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电源支持宽电压，DC5v2A/12v1A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支持433M接收和发射，最大发射信号强度不低于20dbm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支持2.4Gwifi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支持BLE4.0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带双色led指示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E17110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2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接收装置(工作人员用)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◆433M无线接收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◆独立收呼叫信息，支持串口注册下载功能，简化注册过程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◆显示类型包含中文、英文、数字多种组合方式                            ◆OLED彩色显示屏，自发光，</w:t>
            </w:r>
            <w:proofErr w:type="gramStart"/>
            <w:r>
              <w:rPr>
                <w:rFonts w:ascii="仿宋_GB2312" w:eastAsia="仿宋_GB2312" w:hAnsi="宋体" w:hint="eastAsia"/>
                <w:kern w:val="2"/>
              </w:rPr>
              <w:t>抗震抗摔</w:t>
            </w:r>
            <w:proofErr w:type="gramEnd"/>
            <w:r>
              <w:rPr>
                <w:rFonts w:ascii="仿宋_GB2312" w:eastAsia="仿宋_GB2312" w:hAnsi="宋体" w:hint="eastAsia"/>
                <w:kern w:val="2"/>
              </w:rPr>
              <w:t xml:space="preserve">                                                 ◆具备加密功能，防止误操作带来不必要的信息丢失                                                 ◆号码显示位数3-5位可调                                                        ◆具有振动、铃声、振动加铃声三种提示方式       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◆可充电设计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E17110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6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前端软件APP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 </w:t>
            </w:r>
            <w:proofErr w:type="gramStart"/>
            <w:r>
              <w:rPr>
                <w:rFonts w:ascii="仿宋_GB2312" w:eastAsia="仿宋_GB2312" w:hAnsi="宋体" w:hint="eastAsia"/>
                <w:kern w:val="2"/>
              </w:rPr>
              <w:t>安卓</w:t>
            </w:r>
            <w:proofErr w:type="gramEnd"/>
            <w:r>
              <w:rPr>
                <w:rFonts w:ascii="仿宋_GB2312" w:eastAsia="仿宋_GB2312" w:hAnsi="宋体" w:hint="eastAsia"/>
                <w:kern w:val="2"/>
              </w:rPr>
              <w:t>6.0以上系统；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支持云端账号登录，也支持无账号快速登录，断网不影响呼叫系统工作；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呼叫提醒方式支持一次播报或无限次播报；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支持在线升级；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支持护理员身份管理，不同身份管理不同呼叫分组；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支持呼叫记录查询；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7*24小时工作；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E17110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1套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呼叫服务器软件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支持跨平台，支持windows系统和</w:t>
            </w:r>
            <w:proofErr w:type="spellStart"/>
            <w:r>
              <w:rPr>
                <w:rFonts w:ascii="仿宋_GB2312" w:eastAsia="仿宋_GB2312" w:hAnsi="宋体" w:hint="eastAsia"/>
                <w:kern w:val="2"/>
              </w:rPr>
              <w:t>linux</w:t>
            </w:r>
            <w:proofErr w:type="spellEnd"/>
            <w:r>
              <w:rPr>
                <w:rFonts w:ascii="仿宋_GB2312" w:eastAsia="仿宋_GB2312" w:hAnsi="宋体" w:hint="eastAsia"/>
                <w:kern w:val="2"/>
              </w:rPr>
              <w:t>系统；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支持后端设备配置，身份配置；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支持设备表导入；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支持身份配置和分组；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BS架构，支持远程管理；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支持呼叫记录查询；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支持设备状态查询；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7*24小时工作；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E17110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1套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交换机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不少于16口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POE输出能力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百兆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7*24小时工作；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1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无线接入点</w:t>
            </w:r>
          </w:p>
          <w:p w:rsidR="00E17110" w:rsidRDefault="00E17110" w:rsidP="00D74029">
            <w:pPr>
              <w:pStyle w:val="Defaul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Cs/>
                <w:szCs w:val="24"/>
              </w:rPr>
              <w:t>（AP）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2.4Gwifi；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</w:t>
            </w:r>
            <w:proofErr w:type="spellStart"/>
            <w:r>
              <w:rPr>
                <w:rFonts w:ascii="仿宋_GB2312" w:eastAsia="仿宋_GB2312" w:hAnsi="宋体" w:hint="eastAsia"/>
                <w:kern w:val="2"/>
              </w:rPr>
              <w:t>poe</w:t>
            </w:r>
            <w:proofErr w:type="spellEnd"/>
            <w:r>
              <w:rPr>
                <w:rFonts w:ascii="仿宋_GB2312" w:eastAsia="仿宋_GB2312" w:hAnsi="宋体" w:hint="eastAsia"/>
                <w:kern w:val="2"/>
              </w:rPr>
              <w:t>供电；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信号覆盖半径不小于30米（无阻挡）；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lastRenderedPageBreak/>
              <w:t>◆ 7*24小时工作；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lastRenderedPageBreak/>
              <w:t>11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Default"/>
              <w:rPr>
                <w:rFonts w:ascii="仿宋_GB2312" w:eastAsia="仿宋_GB2312" w:hAnsi="仿宋_GB2312" w:cs="仿宋_GB2312" w:hint="default"/>
                <w:bCs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Cs w:val="24"/>
              </w:rPr>
              <w:t>无线AC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支持不低于80个终端的管理能力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7*24小时工作；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ind w:firstLineChars="200" w:firstLine="480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1</w:t>
            </w:r>
          </w:p>
        </w:tc>
      </w:tr>
      <w:tr w:rsidR="00E17110" w:rsidTr="00D74029">
        <w:trPr>
          <w:trHeight w:val="13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Default"/>
              <w:rPr>
                <w:rFonts w:ascii="仿宋_GB2312" w:eastAsia="仿宋_GB2312" w:hAnsi="仿宋_GB2312" w:cs="仿宋_GB2312" w:hint="default"/>
                <w:bCs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Cs w:val="24"/>
              </w:rPr>
              <w:t>工程辅材</w:t>
            </w:r>
          </w:p>
          <w:p w:rsidR="00E17110" w:rsidRDefault="00E17110" w:rsidP="00D74029">
            <w:pPr>
              <w:pStyle w:val="Default"/>
              <w:rPr>
                <w:rFonts w:ascii="仿宋_GB2312" w:eastAsia="仿宋_GB2312" w:hAnsi="仿宋_GB2312" w:cs="仿宋_GB2312" w:hint="default"/>
                <w:bCs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Cs w:val="24"/>
              </w:rPr>
              <w:t>（电源、机柜、线缆等）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◆ 保证相关设备7*24小时工作；</w:t>
            </w:r>
          </w:p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 xml:space="preserve">◆ </w:t>
            </w:r>
            <w:r w:rsidR="00D369AD">
              <w:rPr>
                <w:rFonts w:ascii="仿宋_GB2312" w:eastAsia="仿宋_GB2312" w:hAnsi="宋体" w:hint="eastAsia"/>
                <w:kern w:val="2"/>
              </w:rPr>
              <w:t>符合国家标准及</w:t>
            </w:r>
            <w:r>
              <w:rPr>
                <w:rFonts w:ascii="仿宋_GB2312" w:eastAsia="仿宋_GB2312" w:hAnsi="宋体" w:hint="eastAsia"/>
                <w:kern w:val="2"/>
              </w:rPr>
              <w:t>相关行业</w:t>
            </w:r>
            <w:r w:rsidR="00D369AD">
              <w:rPr>
                <w:rFonts w:ascii="仿宋_GB2312" w:eastAsia="仿宋_GB2312" w:hAnsi="宋体" w:hint="eastAsia"/>
                <w:kern w:val="2"/>
              </w:rPr>
              <w:t>要求</w:t>
            </w:r>
            <w:r>
              <w:rPr>
                <w:rFonts w:ascii="仿宋_GB2312" w:eastAsia="仿宋_GB2312" w:hAnsi="宋体" w:hint="eastAsia"/>
                <w:kern w:val="2"/>
              </w:rPr>
              <w:t>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10" w:rsidRDefault="00E17110" w:rsidP="00D74029">
            <w:pPr>
              <w:pStyle w:val="a5"/>
              <w:widowControl/>
              <w:spacing w:line="560" w:lineRule="atLeast"/>
              <w:rPr>
                <w:rFonts w:ascii="仿宋_GB2312" w:eastAsia="仿宋_GB2312" w:hAnsi="宋体"/>
                <w:kern w:val="2"/>
              </w:rPr>
            </w:pPr>
            <w:r>
              <w:rPr>
                <w:rFonts w:ascii="仿宋_GB2312" w:eastAsia="仿宋_GB2312" w:hAnsi="宋体" w:hint="eastAsia"/>
                <w:kern w:val="2"/>
              </w:rPr>
              <w:t>按工程需要配置</w:t>
            </w:r>
          </w:p>
        </w:tc>
      </w:tr>
    </w:tbl>
    <w:p w:rsidR="00BF454F" w:rsidRDefault="00BF454F"/>
    <w:sectPr w:rsidR="00BF454F" w:rsidSect="00812E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41" w:rsidRDefault="006A4041" w:rsidP="00E17110">
      <w:r>
        <w:separator/>
      </w:r>
    </w:p>
  </w:endnote>
  <w:endnote w:type="continuationSeparator" w:id="0">
    <w:p w:rsidR="006A4041" w:rsidRDefault="006A4041" w:rsidP="00E1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41" w:rsidRDefault="006A4041" w:rsidP="00E17110">
      <w:r>
        <w:separator/>
      </w:r>
    </w:p>
  </w:footnote>
  <w:footnote w:type="continuationSeparator" w:id="0">
    <w:p w:rsidR="006A4041" w:rsidRDefault="006A4041" w:rsidP="00E1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60CEEA4FE3A4CC6AD816C79C2FA674C"/>
      </w:placeholder>
      <w:temporary/>
      <w:showingPlcHdr/>
    </w:sdtPr>
    <w:sdtContent>
      <w:p w:rsidR="0062320A" w:rsidRDefault="0062320A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62320A" w:rsidRDefault="006232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10"/>
    <w:rsid w:val="001B7D35"/>
    <w:rsid w:val="005760C5"/>
    <w:rsid w:val="0062320A"/>
    <w:rsid w:val="006A4041"/>
    <w:rsid w:val="00812E5E"/>
    <w:rsid w:val="00BF454F"/>
    <w:rsid w:val="00D369AD"/>
    <w:rsid w:val="00D4628C"/>
    <w:rsid w:val="00E1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171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10"/>
    <w:rPr>
      <w:sz w:val="18"/>
      <w:szCs w:val="18"/>
    </w:rPr>
  </w:style>
  <w:style w:type="paragraph" w:customStyle="1" w:styleId="Default">
    <w:name w:val="Default"/>
    <w:unhideWhenUsed/>
    <w:qFormat/>
    <w:rsid w:val="00E17110"/>
    <w:pPr>
      <w:widowControl w:val="0"/>
      <w:autoSpaceDE w:val="0"/>
      <w:autoSpaceDN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styleId="a5">
    <w:name w:val="Normal (Web)"/>
    <w:basedOn w:val="a"/>
    <w:qFormat/>
    <w:rsid w:val="00E17110"/>
    <w:pPr>
      <w:jc w:val="left"/>
    </w:pPr>
    <w:rPr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232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32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0CEEA4FE3A4CC6AD816C79C2FA67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68857A-3A45-4993-912C-1E79F2E91187}"/>
      </w:docPartPr>
      <w:docPartBody>
        <w:p w:rsidR="00000000" w:rsidRDefault="002D42FE" w:rsidP="002D42FE">
          <w:pPr>
            <w:pStyle w:val="860CEEA4FE3A4CC6AD816C79C2FA674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2FE"/>
    <w:rsid w:val="002B0AF4"/>
    <w:rsid w:val="002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0CEEA4FE3A4CC6AD816C79C2FA674C">
    <w:name w:val="860CEEA4FE3A4CC6AD816C79C2FA674C"/>
    <w:rsid w:val="002D42F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</Words>
  <Characters>1400</Characters>
  <Application>Microsoft Office Word</Application>
  <DocSecurity>0</DocSecurity>
  <Lines>11</Lines>
  <Paragraphs>3</Paragraphs>
  <ScaleCrop>false</ScaleCrop>
  <Company>P R 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XiaZaiMa.COM</cp:lastModifiedBy>
  <cp:revision>8</cp:revision>
  <cp:lastPrinted>2020-08-20T06:47:00Z</cp:lastPrinted>
  <dcterms:created xsi:type="dcterms:W3CDTF">2020-08-18T08:37:00Z</dcterms:created>
  <dcterms:modified xsi:type="dcterms:W3CDTF">2020-08-20T06:50:00Z</dcterms:modified>
</cp:coreProperties>
</file>