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阳光养老院二层装修</w:t>
      </w:r>
      <w:r>
        <w:rPr>
          <w:rFonts w:hint="eastAsia"/>
          <w:sz w:val="32"/>
          <w:szCs w:val="32"/>
          <w:lang w:eastAsia="zh-CN"/>
        </w:rPr>
        <w:t>编制说明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val="zh-CN"/>
        </w:rPr>
        <w:t>安装工程：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1、</w:t>
      </w:r>
      <w:r>
        <w:rPr>
          <w:rFonts w:hint="eastAsia" w:ascii="宋体" w:hAnsi="宋体"/>
          <w:sz w:val="28"/>
          <w:szCs w:val="28"/>
          <w:lang w:val="zh-CN"/>
        </w:rPr>
        <w:t>户内箱出线无系统图，暂按照明一个回路采用PC20/BV3*2.5，普通插座一个回路采用PC20/BV3*2.5，空调插座一个回路采用PC20/BV3*4计入；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2、户内所有灯具及开关插座均计入；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3、弱电网络信息插座采用PC20/超五类网络线，电视插座采用PC20/电视线；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4、给排水因图纸设计未明确，原卫生间进水主管暂按PPR管计入，支管暂按PPR管暗敷计入，排水管按PVC管计入，排水仅计卫生间支管，洁具计入；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5、新风系统图纸设计未明确，管道暂按PVC160计入，风机无设计型号按暂估价计入，风口按500*500格栅风口计入。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B52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2020-08-08T09:44:00Z</dcterms:created>
  <dc:creator>Ｍr  、 葛</dc:creator>
  <cp:lastModifiedBy>Ｍr  、 葛</cp:lastModifiedBy>
  <dcterms:modified xsi:type="dcterms:W3CDTF">2020-08-08T09:45:48Z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